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4BEC" w:rsidRDefault="00E0027C" w:rsidP="00D64BEC">
      <w:pPr>
        <w:rPr>
          <w:rFonts w:ascii="Garamond" w:hAnsi="Garamond"/>
          <w:b/>
          <w:sz w:val="28"/>
          <w:szCs w:val="28"/>
        </w:rPr>
      </w:pPr>
      <w:r w:rsidRPr="00E0027C">
        <w:rPr>
          <w:noProof/>
          <w:sz w:val="30"/>
          <w:szCs w:val="30"/>
          <w:lang w:eastAsia="pt-BR"/>
        </w:rPr>
        <w:pict>
          <v:rect id="_x0000_s1062" style="position:absolute;margin-left:-3.35pt;margin-top:-1.35pt;width:92.25pt;height:90pt;z-index:-251656192"/>
        </w:pict>
      </w:r>
      <w:r w:rsidR="007C60E0" w:rsidRPr="004375E5">
        <w:rPr>
          <w:sz w:val="30"/>
          <w:szCs w:val="30"/>
        </w:rPr>
        <w:object w:dxaOrig="9088" w:dyaOrig="108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5.5pt;height:83.25pt" o:ole="">
            <v:imagedata r:id="rId5" o:title=""/>
          </v:shape>
          <o:OLEObject Type="Embed" ProgID="CorelDraw.Graphic.13" ShapeID="_x0000_i1025" DrawAspect="Content" ObjectID="_1343483246" r:id="rId6"/>
        </w:object>
      </w:r>
      <w:r w:rsidR="003749DF">
        <w:rPr>
          <w:sz w:val="30"/>
          <w:szCs w:val="30"/>
        </w:rPr>
        <w:t xml:space="preserve">   </w:t>
      </w:r>
      <w:r w:rsidR="00D64BEC">
        <w:rPr>
          <w:rFonts w:ascii="Garamond" w:hAnsi="Garamond"/>
          <w:b/>
          <w:sz w:val="28"/>
          <w:szCs w:val="28"/>
        </w:rPr>
        <w:t>1–</w:t>
      </w:r>
      <w:r w:rsidR="00BF467C">
        <w:rPr>
          <w:rFonts w:ascii="Garamond" w:hAnsi="Garamond"/>
          <w:b/>
          <w:sz w:val="28"/>
          <w:szCs w:val="28"/>
        </w:rPr>
        <w:t xml:space="preserve"> D</w:t>
      </w:r>
      <w:r w:rsidR="00222AC1">
        <w:rPr>
          <w:rFonts w:ascii="Garamond" w:hAnsi="Garamond"/>
          <w:b/>
          <w:sz w:val="28"/>
          <w:szCs w:val="28"/>
        </w:rPr>
        <w:t>iagnóstico do Acervo e</w:t>
      </w:r>
      <w:r w:rsidR="00D64BEC">
        <w:rPr>
          <w:rFonts w:ascii="Garamond" w:hAnsi="Garamond"/>
          <w:b/>
          <w:sz w:val="28"/>
          <w:szCs w:val="28"/>
        </w:rPr>
        <w:t xml:space="preserve"> Elementos de Pesquisa</w:t>
      </w:r>
    </w:p>
    <w:p w:rsidR="00BF467C" w:rsidRPr="00E5178B" w:rsidRDefault="007C60E0" w:rsidP="006465AA">
      <w:pPr>
        <w:pStyle w:val="PargrafodaLista"/>
        <w:rPr>
          <w:rFonts w:ascii="Garamond" w:hAnsi="Garamond"/>
          <w:b/>
          <w:sz w:val="28"/>
          <w:szCs w:val="28"/>
        </w:rPr>
      </w:pPr>
      <w:r>
        <w:rPr>
          <w:rFonts w:ascii="Garamond" w:hAnsi="Garamond"/>
          <w:b/>
          <w:sz w:val="28"/>
          <w:szCs w:val="28"/>
        </w:rPr>
        <w:t xml:space="preserve">            </w:t>
      </w:r>
      <w:r w:rsidR="002E26E2">
        <w:rPr>
          <w:rFonts w:ascii="Garamond" w:hAnsi="Garamond"/>
          <w:b/>
          <w:sz w:val="28"/>
          <w:szCs w:val="28"/>
        </w:rPr>
        <w:t xml:space="preserve">    </w:t>
      </w:r>
      <w:r>
        <w:rPr>
          <w:rFonts w:ascii="Garamond" w:hAnsi="Garamond"/>
          <w:b/>
          <w:sz w:val="28"/>
          <w:szCs w:val="28"/>
        </w:rPr>
        <w:t xml:space="preserve">   </w:t>
      </w:r>
      <w:r w:rsidR="003749DF">
        <w:rPr>
          <w:rFonts w:ascii="Garamond" w:hAnsi="Garamond"/>
          <w:b/>
          <w:sz w:val="28"/>
          <w:szCs w:val="28"/>
        </w:rPr>
        <w:t xml:space="preserve"> </w:t>
      </w:r>
      <w:r>
        <w:rPr>
          <w:rFonts w:ascii="Garamond" w:hAnsi="Garamond"/>
          <w:b/>
          <w:sz w:val="28"/>
          <w:szCs w:val="28"/>
        </w:rPr>
        <w:t xml:space="preserve"> </w:t>
      </w:r>
      <w:r w:rsidR="006465AA">
        <w:rPr>
          <w:rFonts w:ascii="Garamond" w:hAnsi="Garamond"/>
          <w:b/>
          <w:sz w:val="28"/>
          <w:szCs w:val="28"/>
        </w:rPr>
        <w:t xml:space="preserve">1.a. </w:t>
      </w:r>
      <w:r w:rsidR="00BF467C" w:rsidRPr="00E5178B">
        <w:rPr>
          <w:rFonts w:ascii="Garamond" w:hAnsi="Garamond"/>
          <w:b/>
          <w:sz w:val="28"/>
          <w:szCs w:val="28"/>
        </w:rPr>
        <w:t>Diagnóstico do acervo encontrado</w:t>
      </w:r>
    </w:p>
    <w:p w:rsidR="00BF467C" w:rsidRDefault="00BF467C" w:rsidP="00BF467C">
      <w:pPr>
        <w:pStyle w:val="PargrafodaLista"/>
        <w:ind w:left="0"/>
        <w:rPr>
          <w:rFonts w:ascii="Garamond" w:hAnsi="Garamond"/>
          <w:b/>
          <w:sz w:val="28"/>
          <w:szCs w:val="28"/>
        </w:rPr>
      </w:pPr>
    </w:p>
    <w:p w:rsidR="00BF467C" w:rsidRDefault="00BF467C" w:rsidP="00BF467C">
      <w:pPr>
        <w:pStyle w:val="PargrafodaLista"/>
        <w:ind w:left="0"/>
        <w:jc w:val="both"/>
        <w:rPr>
          <w:rFonts w:ascii="Garamond" w:hAnsi="Garamond"/>
          <w:sz w:val="28"/>
          <w:szCs w:val="28"/>
        </w:rPr>
      </w:pPr>
      <w:r>
        <w:rPr>
          <w:rFonts w:ascii="Garamond" w:hAnsi="Garamond"/>
          <w:b/>
          <w:sz w:val="28"/>
          <w:szCs w:val="28"/>
        </w:rPr>
        <w:t>Tipologia</w:t>
      </w:r>
      <w:r>
        <w:rPr>
          <w:rFonts w:ascii="Garamond" w:hAnsi="Garamond"/>
          <w:sz w:val="28"/>
          <w:szCs w:val="28"/>
        </w:rPr>
        <w:t xml:space="preserve"> - O Tribunal de Justiça de Alagoas praticamente não tem mais acervo original do início do século XX, quando foi instalado no prédio centenário. Algumas cadeiras de espaldar alto, um birô e uma mesa são as peças mais representativas que restam dessa época.</w:t>
      </w:r>
    </w:p>
    <w:p w:rsidR="00BF467C" w:rsidRDefault="00BF467C" w:rsidP="00BF467C">
      <w:pPr>
        <w:pStyle w:val="PargrafodaLista"/>
        <w:ind w:left="0"/>
        <w:jc w:val="both"/>
        <w:rPr>
          <w:rFonts w:ascii="Garamond" w:hAnsi="Garamond"/>
          <w:sz w:val="28"/>
          <w:szCs w:val="28"/>
        </w:rPr>
      </w:pPr>
      <w:r>
        <w:rPr>
          <w:rFonts w:ascii="Garamond" w:hAnsi="Garamond"/>
          <w:sz w:val="28"/>
          <w:szCs w:val="28"/>
        </w:rPr>
        <w:t xml:space="preserve">Outras peças levantadas foram ajuntadas por ocasião da criação do Museu do Tribunal, na década de 1980, pelo Desembargador Hélio Cabral, graças </w:t>
      </w:r>
      <w:proofErr w:type="gramStart"/>
      <w:r>
        <w:rPr>
          <w:rFonts w:ascii="Garamond" w:hAnsi="Garamond"/>
          <w:sz w:val="28"/>
          <w:szCs w:val="28"/>
        </w:rPr>
        <w:t>a</w:t>
      </w:r>
      <w:proofErr w:type="gramEnd"/>
      <w:r>
        <w:rPr>
          <w:rFonts w:ascii="Garamond" w:hAnsi="Garamond"/>
          <w:sz w:val="28"/>
          <w:szCs w:val="28"/>
        </w:rPr>
        <w:t xml:space="preserve"> doação de alguns colegas. Outras foram acrescidas em 2004, quand</w:t>
      </w:r>
      <w:r w:rsidR="006465AA">
        <w:rPr>
          <w:rFonts w:ascii="Garamond" w:hAnsi="Garamond"/>
          <w:sz w:val="28"/>
          <w:szCs w:val="28"/>
        </w:rPr>
        <w:t xml:space="preserve">o o Desembargador </w:t>
      </w:r>
      <w:proofErr w:type="spellStart"/>
      <w:r w:rsidR="006465AA">
        <w:rPr>
          <w:rFonts w:ascii="Garamond" w:hAnsi="Garamond"/>
          <w:sz w:val="28"/>
          <w:szCs w:val="28"/>
        </w:rPr>
        <w:t>Waskington</w:t>
      </w:r>
      <w:proofErr w:type="spellEnd"/>
      <w:r w:rsidR="006465AA">
        <w:rPr>
          <w:rFonts w:ascii="Garamond" w:hAnsi="Garamond"/>
          <w:sz w:val="28"/>
          <w:szCs w:val="28"/>
        </w:rPr>
        <w:t xml:space="preserve"> Lui</w:t>
      </w:r>
      <w:r>
        <w:rPr>
          <w:rFonts w:ascii="Garamond" w:hAnsi="Garamond"/>
          <w:sz w:val="28"/>
          <w:szCs w:val="28"/>
        </w:rPr>
        <w:t xml:space="preserve">z reativou o museu, dessa feita na </w:t>
      </w:r>
      <w:proofErr w:type="spellStart"/>
      <w:r>
        <w:rPr>
          <w:rFonts w:ascii="Garamond" w:hAnsi="Garamond"/>
          <w:sz w:val="28"/>
          <w:szCs w:val="28"/>
        </w:rPr>
        <w:t>Esmal</w:t>
      </w:r>
      <w:proofErr w:type="spellEnd"/>
      <w:r>
        <w:rPr>
          <w:rFonts w:ascii="Garamond" w:hAnsi="Garamond"/>
          <w:sz w:val="28"/>
          <w:szCs w:val="28"/>
        </w:rPr>
        <w:t>.</w:t>
      </w:r>
    </w:p>
    <w:p w:rsidR="00BF467C" w:rsidRDefault="00BF467C" w:rsidP="00BF467C">
      <w:pPr>
        <w:pStyle w:val="PargrafodaLista"/>
        <w:ind w:left="0"/>
        <w:jc w:val="both"/>
        <w:rPr>
          <w:rFonts w:ascii="Garamond" w:hAnsi="Garamond"/>
          <w:sz w:val="28"/>
          <w:szCs w:val="28"/>
        </w:rPr>
      </w:pPr>
      <w:r>
        <w:rPr>
          <w:rFonts w:ascii="Garamond" w:hAnsi="Garamond"/>
          <w:sz w:val="28"/>
          <w:szCs w:val="28"/>
        </w:rPr>
        <w:t xml:space="preserve">Nessa ocasião, o acervo se compôs das seguintes peças, além das centenárias acima citadas: fotografias dos Desembargadores, fotografias dos prédios que serviram de sede ao TJ, canetas, óculos, espátulas, prendedor de papéis, </w:t>
      </w:r>
      <w:proofErr w:type="spellStart"/>
      <w:r>
        <w:rPr>
          <w:rFonts w:ascii="Garamond" w:hAnsi="Garamond"/>
          <w:sz w:val="28"/>
          <w:szCs w:val="28"/>
        </w:rPr>
        <w:t>balanaça</w:t>
      </w:r>
      <w:proofErr w:type="spellEnd"/>
      <w:r>
        <w:rPr>
          <w:rFonts w:ascii="Garamond" w:hAnsi="Garamond"/>
          <w:sz w:val="28"/>
          <w:szCs w:val="28"/>
        </w:rPr>
        <w:t xml:space="preserve"> de bronze, tinteiro, carros de brinquedo usados pela então juíza de trânsito Elisabeth Carvalho Nascimento para recompor situações de acidentes, estatueta de </w:t>
      </w:r>
      <w:proofErr w:type="spellStart"/>
      <w:r>
        <w:rPr>
          <w:rFonts w:ascii="Garamond" w:hAnsi="Garamond"/>
          <w:sz w:val="28"/>
          <w:szCs w:val="28"/>
        </w:rPr>
        <w:t>Témis</w:t>
      </w:r>
      <w:proofErr w:type="spellEnd"/>
      <w:r>
        <w:rPr>
          <w:rFonts w:ascii="Garamond" w:hAnsi="Garamond"/>
          <w:sz w:val="28"/>
          <w:szCs w:val="28"/>
        </w:rPr>
        <w:t xml:space="preserve">, Deusa da Justiça, medalhas, placas, comendas, livros escritos por desembargadores e uma toga de desembargador. Mesmo assim, o acervo continuou pequeno e pouco representativo, diante da importância e da história do Tribunal. </w:t>
      </w:r>
    </w:p>
    <w:p w:rsidR="00BF467C" w:rsidRDefault="00BF467C" w:rsidP="00BF467C">
      <w:pPr>
        <w:pStyle w:val="PargrafodaLista"/>
        <w:ind w:left="0"/>
        <w:jc w:val="both"/>
        <w:rPr>
          <w:rFonts w:ascii="Garamond" w:hAnsi="Garamond"/>
          <w:sz w:val="28"/>
          <w:szCs w:val="28"/>
        </w:rPr>
      </w:pPr>
      <w:r>
        <w:rPr>
          <w:rFonts w:ascii="Garamond" w:hAnsi="Garamond"/>
          <w:b/>
          <w:sz w:val="28"/>
          <w:szCs w:val="28"/>
        </w:rPr>
        <w:t>Característica técnica</w:t>
      </w:r>
      <w:proofErr w:type="gramStart"/>
      <w:r>
        <w:rPr>
          <w:rFonts w:ascii="Garamond" w:hAnsi="Garamond"/>
          <w:sz w:val="28"/>
          <w:szCs w:val="28"/>
        </w:rPr>
        <w:t xml:space="preserve">  </w:t>
      </w:r>
      <w:proofErr w:type="gramEnd"/>
      <w:r>
        <w:rPr>
          <w:rFonts w:ascii="Garamond" w:hAnsi="Garamond"/>
          <w:sz w:val="28"/>
          <w:szCs w:val="28"/>
        </w:rPr>
        <w:t xml:space="preserve">- A característica técnica favorável ao acervo é a identidade tipológica desses objetos, uma vez que todos eles estão ligados ao Judiciário, formando uma coleção uniforme. Essa característica favorece a composição didática do circuito, por oferecer a possibilidade da manutenção temática do percurso expositivo. </w:t>
      </w:r>
    </w:p>
    <w:p w:rsidR="00BF467C" w:rsidRDefault="00BF467C" w:rsidP="00BF467C">
      <w:pPr>
        <w:pStyle w:val="PargrafodaLista"/>
        <w:ind w:left="0"/>
        <w:jc w:val="both"/>
        <w:rPr>
          <w:rFonts w:ascii="Garamond" w:hAnsi="Garamond"/>
          <w:sz w:val="28"/>
          <w:szCs w:val="28"/>
        </w:rPr>
      </w:pPr>
      <w:r>
        <w:rPr>
          <w:rFonts w:ascii="Garamond" w:hAnsi="Garamond"/>
          <w:sz w:val="28"/>
          <w:szCs w:val="28"/>
        </w:rPr>
        <w:t>A falta de processos históricos é a maior carência do acervo, existindo apenas uma peça dessa natureza.</w:t>
      </w:r>
    </w:p>
    <w:p w:rsidR="00BF467C" w:rsidRDefault="00BF467C" w:rsidP="00BF467C">
      <w:pPr>
        <w:pStyle w:val="PargrafodaLista"/>
        <w:ind w:left="0"/>
        <w:jc w:val="both"/>
        <w:rPr>
          <w:rFonts w:ascii="Garamond" w:hAnsi="Garamond"/>
          <w:sz w:val="28"/>
          <w:szCs w:val="28"/>
        </w:rPr>
      </w:pPr>
      <w:r>
        <w:rPr>
          <w:rFonts w:ascii="Garamond" w:hAnsi="Garamond"/>
          <w:b/>
          <w:sz w:val="28"/>
          <w:szCs w:val="28"/>
        </w:rPr>
        <w:t>Estado de Conservação</w:t>
      </w:r>
      <w:r>
        <w:rPr>
          <w:rFonts w:ascii="Garamond" w:hAnsi="Garamond"/>
          <w:sz w:val="28"/>
          <w:szCs w:val="28"/>
        </w:rPr>
        <w:t xml:space="preserve"> – É bom o estado de conservação do acervo, carecendo apenas da restauração de papéis de processo e de fotografias. O restante das peças necessita apenas de uma higienização.</w:t>
      </w:r>
    </w:p>
    <w:p w:rsidR="00F73A88" w:rsidRDefault="00E0027C" w:rsidP="00BF467C">
      <w:pPr>
        <w:pStyle w:val="PargrafodaLista"/>
        <w:ind w:left="0"/>
        <w:jc w:val="both"/>
        <w:rPr>
          <w:sz w:val="30"/>
          <w:szCs w:val="30"/>
        </w:rPr>
      </w:pPr>
      <w:r>
        <w:rPr>
          <w:noProof/>
          <w:sz w:val="30"/>
          <w:szCs w:val="30"/>
          <w:lang w:eastAsia="pt-BR"/>
        </w:rPr>
        <w:lastRenderedPageBreak/>
        <w:pict>
          <v:rect id="_x0000_s1064" style="position:absolute;left:0;text-align:left;margin-left:-4.1pt;margin-top:-3.6pt;width:92.25pt;height:90pt;z-index:-251654144"/>
        </w:pict>
      </w:r>
      <w:r w:rsidR="002E26E2" w:rsidRPr="004375E5">
        <w:rPr>
          <w:sz w:val="30"/>
          <w:szCs w:val="30"/>
        </w:rPr>
        <w:object w:dxaOrig="9088" w:dyaOrig="10839">
          <v:shape id="_x0000_i1026" type="#_x0000_t75" style="width:85.5pt;height:83.25pt" o:ole="">
            <v:imagedata r:id="rId5" o:title=""/>
          </v:shape>
          <o:OLEObject Type="Embed" ProgID="CorelDraw.Graphic.13" ShapeID="_x0000_i1026" DrawAspect="Content" ObjectID="_1343483247" r:id="rId7"/>
        </w:object>
      </w:r>
    </w:p>
    <w:p w:rsidR="00BF467C" w:rsidRDefault="00BF467C" w:rsidP="00BF467C">
      <w:pPr>
        <w:pStyle w:val="PargrafodaLista"/>
        <w:ind w:left="0"/>
        <w:jc w:val="both"/>
        <w:rPr>
          <w:rFonts w:ascii="Garamond" w:hAnsi="Garamond"/>
          <w:sz w:val="28"/>
          <w:szCs w:val="28"/>
        </w:rPr>
      </w:pPr>
      <w:r>
        <w:rPr>
          <w:rFonts w:ascii="Garamond" w:hAnsi="Garamond"/>
          <w:b/>
          <w:sz w:val="28"/>
          <w:szCs w:val="28"/>
        </w:rPr>
        <w:t>Forma de Aquisição</w:t>
      </w:r>
      <w:r>
        <w:rPr>
          <w:rFonts w:ascii="Garamond" w:hAnsi="Garamond"/>
          <w:sz w:val="28"/>
          <w:szCs w:val="28"/>
        </w:rPr>
        <w:t xml:space="preserve"> – Além das poucas peças originais que pertencem ao Tribunal, as demais foram doadas por familiares ou pelos próprios desembargadores.</w:t>
      </w:r>
    </w:p>
    <w:p w:rsidR="00D64BEC" w:rsidRPr="002E26E2" w:rsidRDefault="002E26E2" w:rsidP="00D64BEC">
      <w:pPr>
        <w:ind w:firstLine="708"/>
        <w:rPr>
          <w:rFonts w:ascii="Garamond" w:hAnsi="Garamond"/>
          <w:b/>
          <w:sz w:val="28"/>
          <w:szCs w:val="28"/>
        </w:rPr>
      </w:pPr>
      <w:r>
        <w:rPr>
          <w:rFonts w:ascii="Garamond" w:hAnsi="Garamond"/>
          <w:b/>
          <w:sz w:val="28"/>
          <w:szCs w:val="28"/>
        </w:rPr>
        <w:t xml:space="preserve">               </w:t>
      </w:r>
      <w:r w:rsidR="006465AA" w:rsidRPr="002E26E2">
        <w:rPr>
          <w:rFonts w:ascii="Garamond" w:hAnsi="Garamond"/>
          <w:b/>
          <w:sz w:val="28"/>
          <w:szCs w:val="28"/>
        </w:rPr>
        <w:t xml:space="preserve">1.b. Elementos de Pesquisa </w:t>
      </w:r>
    </w:p>
    <w:p w:rsidR="00D64BEC" w:rsidRDefault="00D64BEC" w:rsidP="00D64BEC">
      <w:pPr>
        <w:rPr>
          <w:rFonts w:ascii="Garamond" w:hAnsi="Garamond"/>
          <w:sz w:val="28"/>
          <w:szCs w:val="28"/>
        </w:rPr>
      </w:pPr>
      <w:r>
        <w:rPr>
          <w:rFonts w:ascii="Garamond" w:hAnsi="Garamond"/>
          <w:sz w:val="28"/>
          <w:szCs w:val="28"/>
        </w:rPr>
        <w:t xml:space="preserve">1710 </w:t>
      </w:r>
      <w:r w:rsidR="005676E4">
        <w:rPr>
          <w:rFonts w:ascii="Garamond" w:hAnsi="Garamond"/>
          <w:sz w:val="28"/>
          <w:szCs w:val="28"/>
        </w:rPr>
        <w:t>-</w:t>
      </w:r>
      <w:r>
        <w:rPr>
          <w:rFonts w:ascii="Garamond" w:hAnsi="Garamond"/>
          <w:sz w:val="28"/>
          <w:szCs w:val="28"/>
        </w:rPr>
        <w:t xml:space="preserve"> Em </w:t>
      </w:r>
      <w:proofErr w:type="gramStart"/>
      <w:r>
        <w:rPr>
          <w:rFonts w:ascii="Garamond" w:hAnsi="Garamond"/>
          <w:sz w:val="28"/>
          <w:szCs w:val="28"/>
        </w:rPr>
        <w:t>8</w:t>
      </w:r>
      <w:proofErr w:type="gramEnd"/>
      <w:r>
        <w:rPr>
          <w:rFonts w:ascii="Garamond" w:hAnsi="Garamond"/>
          <w:sz w:val="28"/>
          <w:szCs w:val="28"/>
        </w:rPr>
        <w:t xml:space="preserve"> de agosto, é criado o lugar de Ouvidor Geral da Comarca da Vila do Rio São Francisco, Vila das Alagoas e</w:t>
      </w:r>
      <w:r w:rsidR="005676E4">
        <w:rPr>
          <w:rFonts w:ascii="Garamond" w:hAnsi="Garamond"/>
          <w:sz w:val="28"/>
          <w:szCs w:val="28"/>
        </w:rPr>
        <w:t xml:space="preserve"> Vila </w:t>
      </w:r>
      <w:r>
        <w:rPr>
          <w:rFonts w:ascii="Garamond" w:hAnsi="Garamond"/>
          <w:sz w:val="28"/>
          <w:szCs w:val="28"/>
        </w:rPr>
        <w:t>do Porto Calvo.</w:t>
      </w:r>
    </w:p>
    <w:p w:rsidR="00D64BEC" w:rsidRDefault="00D64BEC" w:rsidP="00D64BEC">
      <w:pPr>
        <w:rPr>
          <w:rFonts w:ascii="Garamond" w:hAnsi="Garamond"/>
          <w:sz w:val="28"/>
          <w:szCs w:val="28"/>
        </w:rPr>
      </w:pPr>
      <w:r>
        <w:rPr>
          <w:rFonts w:ascii="Garamond" w:hAnsi="Garamond"/>
          <w:sz w:val="28"/>
          <w:szCs w:val="28"/>
        </w:rPr>
        <w:t xml:space="preserve">1831 - Em </w:t>
      </w:r>
      <w:proofErr w:type="gramStart"/>
      <w:r>
        <w:rPr>
          <w:rFonts w:ascii="Garamond" w:hAnsi="Garamond"/>
          <w:sz w:val="28"/>
          <w:szCs w:val="28"/>
        </w:rPr>
        <w:t>7</w:t>
      </w:r>
      <w:proofErr w:type="gramEnd"/>
      <w:r>
        <w:rPr>
          <w:rFonts w:ascii="Garamond" w:hAnsi="Garamond"/>
          <w:sz w:val="28"/>
          <w:szCs w:val="28"/>
        </w:rPr>
        <w:t xml:space="preserve"> d</w:t>
      </w:r>
      <w:r w:rsidR="005676E4">
        <w:rPr>
          <w:rFonts w:ascii="Garamond" w:hAnsi="Garamond"/>
          <w:sz w:val="28"/>
          <w:szCs w:val="28"/>
        </w:rPr>
        <w:t xml:space="preserve">e junho, a Comarca  das Alagoas </w:t>
      </w:r>
      <w:r>
        <w:rPr>
          <w:rFonts w:ascii="Garamond" w:hAnsi="Garamond"/>
          <w:sz w:val="28"/>
          <w:szCs w:val="28"/>
        </w:rPr>
        <w:t xml:space="preserve"> passa a compreender o Distrito da Relação de Pernambuco</w:t>
      </w:r>
      <w:r w:rsidR="005676E4">
        <w:rPr>
          <w:rFonts w:ascii="Garamond" w:hAnsi="Garamond"/>
          <w:sz w:val="28"/>
          <w:szCs w:val="28"/>
        </w:rPr>
        <w:t>,</w:t>
      </w:r>
      <w:r>
        <w:rPr>
          <w:rFonts w:ascii="Garamond" w:hAnsi="Garamond"/>
          <w:sz w:val="28"/>
          <w:szCs w:val="28"/>
        </w:rPr>
        <w:t xml:space="preserve"> servindo de Tribunal de Apelação à Província das Alagoas, em vez do Tribunal da Bahia.</w:t>
      </w:r>
    </w:p>
    <w:p w:rsidR="00D64BEC" w:rsidRDefault="00D64BEC" w:rsidP="00D64BEC">
      <w:pPr>
        <w:rPr>
          <w:rFonts w:ascii="Garamond" w:hAnsi="Garamond"/>
          <w:sz w:val="28"/>
          <w:szCs w:val="28"/>
        </w:rPr>
      </w:pPr>
      <w:r>
        <w:rPr>
          <w:rFonts w:ascii="Garamond" w:hAnsi="Garamond"/>
          <w:sz w:val="28"/>
          <w:szCs w:val="28"/>
        </w:rPr>
        <w:t xml:space="preserve">1833 - </w:t>
      </w:r>
      <w:r w:rsidR="00E0027C" w:rsidRPr="00E0027C">
        <w:rPr>
          <w:rFonts w:ascii="Calibri" w:hAnsi="Calibri"/>
        </w:rPr>
        <w:pict>
          <v:shapetype id="_x0000_t32" coordsize="21600,21600" o:spt="32" o:oned="t" path="m,l21600,21600e" filled="f">
            <v:path arrowok="t" fillok="f" o:connecttype="none"/>
            <o:lock v:ext="edit" shapetype="t"/>
          </v:shapetype>
          <v:shape id="_x0000_s1026" type="#_x0000_t32" style="position:absolute;margin-left:95.65pt;margin-top:9.3pt;width:0;height:0;z-index:251658240;mso-position-horizontal-relative:text;mso-position-vertical-relative:text" o:connectortype="straight">
            <v:stroke endarrow="block"/>
          </v:shape>
        </w:pict>
      </w:r>
      <w:r>
        <w:rPr>
          <w:rFonts w:ascii="Garamond" w:hAnsi="Garamond"/>
          <w:sz w:val="28"/>
          <w:szCs w:val="28"/>
        </w:rPr>
        <w:t xml:space="preserve">Em 22 de abril, o Presidente da Província Antonio Pinto </w:t>
      </w:r>
      <w:proofErr w:type="spellStart"/>
      <w:r>
        <w:rPr>
          <w:rFonts w:ascii="Garamond" w:hAnsi="Garamond"/>
          <w:sz w:val="28"/>
          <w:szCs w:val="28"/>
        </w:rPr>
        <w:t>Chichorro</w:t>
      </w:r>
      <w:proofErr w:type="spellEnd"/>
      <w:r>
        <w:rPr>
          <w:rFonts w:ascii="Garamond" w:hAnsi="Garamond"/>
          <w:sz w:val="28"/>
          <w:szCs w:val="28"/>
        </w:rPr>
        <w:t xml:space="preserve"> da Gama, dividiu a Província das Alagoas </w:t>
      </w:r>
      <w:r w:rsidR="005676E4">
        <w:rPr>
          <w:rFonts w:ascii="Garamond" w:hAnsi="Garamond"/>
          <w:sz w:val="28"/>
          <w:szCs w:val="28"/>
        </w:rPr>
        <w:t xml:space="preserve">em </w:t>
      </w:r>
      <w:proofErr w:type="gramStart"/>
      <w:r w:rsidR="005676E4">
        <w:rPr>
          <w:rFonts w:ascii="Garamond" w:hAnsi="Garamond"/>
          <w:sz w:val="28"/>
          <w:szCs w:val="28"/>
        </w:rPr>
        <w:t>4</w:t>
      </w:r>
      <w:proofErr w:type="gramEnd"/>
      <w:r w:rsidR="005676E4">
        <w:rPr>
          <w:rFonts w:ascii="Garamond" w:hAnsi="Garamond"/>
          <w:sz w:val="28"/>
          <w:szCs w:val="28"/>
        </w:rPr>
        <w:t xml:space="preserve"> comarcas ( Alagoas, hoje Marecha</w:t>
      </w:r>
      <w:r>
        <w:rPr>
          <w:rFonts w:ascii="Garamond" w:hAnsi="Garamond"/>
          <w:sz w:val="28"/>
          <w:szCs w:val="28"/>
        </w:rPr>
        <w:t>l.Deodoro; Penedo; Maceió e Atalaia ), nomeando os primeiros juízes.</w:t>
      </w:r>
    </w:p>
    <w:p w:rsidR="00D64BEC" w:rsidRDefault="00D64BEC" w:rsidP="00D64BEC">
      <w:pPr>
        <w:tabs>
          <w:tab w:val="left" w:pos="4575"/>
        </w:tabs>
        <w:jc w:val="both"/>
        <w:rPr>
          <w:rFonts w:ascii="Garamond" w:hAnsi="Garamond"/>
          <w:sz w:val="28"/>
          <w:szCs w:val="28"/>
        </w:rPr>
      </w:pPr>
      <w:r>
        <w:rPr>
          <w:rFonts w:ascii="Garamond" w:hAnsi="Garamond"/>
          <w:sz w:val="28"/>
          <w:szCs w:val="28"/>
        </w:rPr>
        <w:t>1891 - A Primeira Constituição Estadual, de 11 de junho, em seu artigo 65 designava</w:t>
      </w:r>
      <w:r w:rsidR="005676E4">
        <w:rPr>
          <w:rFonts w:ascii="Garamond" w:hAnsi="Garamond"/>
          <w:sz w:val="28"/>
          <w:szCs w:val="28"/>
        </w:rPr>
        <w:t xml:space="preserve"> a Casa,</w:t>
      </w:r>
      <w:r>
        <w:rPr>
          <w:rFonts w:ascii="Garamond" w:hAnsi="Garamond"/>
          <w:sz w:val="28"/>
          <w:szCs w:val="28"/>
        </w:rPr>
        <w:t xml:space="preserve"> de Tribunal Superior.</w:t>
      </w:r>
    </w:p>
    <w:p w:rsidR="00D64BEC" w:rsidRDefault="005676E4" w:rsidP="006465AA">
      <w:pPr>
        <w:rPr>
          <w:rFonts w:ascii="Garamond" w:hAnsi="Garamond"/>
          <w:sz w:val="28"/>
          <w:szCs w:val="28"/>
        </w:rPr>
      </w:pPr>
      <w:r>
        <w:rPr>
          <w:rFonts w:ascii="Garamond" w:hAnsi="Garamond"/>
          <w:sz w:val="28"/>
          <w:szCs w:val="28"/>
        </w:rPr>
        <w:t>1892 - Em 1º de j</w:t>
      </w:r>
      <w:r w:rsidR="00D64BEC">
        <w:rPr>
          <w:rFonts w:ascii="Garamond" w:hAnsi="Garamond"/>
          <w:sz w:val="28"/>
          <w:szCs w:val="28"/>
        </w:rPr>
        <w:t>ulho, em Maceió, é instalado o Tribunal Superior do Estado.</w:t>
      </w:r>
    </w:p>
    <w:p w:rsidR="00D64BEC" w:rsidRDefault="00D64BEC" w:rsidP="00D64BEC">
      <w:pPr>
        <w:tabs>
          <w:tab w:val="left" w:pos="4575"/>
        </w:tabs>
        <w:jc w:val="both"/>
        <w:rPr>
          <w:rFonts w:ascii="Garamond" w:hAnsi="Garamond"/>
          <w:sz w:val="28"/>
          <w:szCs w:val="28"/>
        </w:rPr>
      </w:pPr>
      <w:r>
        <w:rPr>
          <w:rFonts w:ascii="Garamond" w:hAnsi="Garamond"/>
          <w:sz w:val="28"/>
          <w:szCs w:val="28"/>
        </w:rPr>
        <w:t xml:space="preserve">1912 - Em </w:t>
      </w:r>
      <w:proofErr w:type="gramStart"/>
      <w:r>
        <w:rPr>
          <w:rFonts w:ascii="Garamond" w:hAnsi="Garamond"/>
          <w:sz w:val="28"/>
          <w:szCs w:val="28"/>
        </w:rPr>
        <w:t>6</w:t>
      </w:r>
      <w:proofErr w:type="gramEnd"/>
      <w:r>
        <w:rPr>
          <w:rFonts w:ascii="Garamond" w:hAnsi="Garamond"/>
          <w:sz w:val="28"/>
          <w:szCs w:val="28"/>
        </w:rPr>
        <w:t xml:space="preserve"> de fevereiro, é inaugurado o edifício sede do Tribunal de Justiça do Estado de Alagoas, devendo-se ao empenho do seu presidente, o desembargador Aurélio </w:t>
      </w:r>
      <w:proofErr w:type="spellStart"/>
      <w:r>
        <w:rPr>
          <w:rFonts w:ascii="Garamond" w:hAnsi="Garamond"/>
          <w:sz w:val="28"/>
          <w:szCs w:val="28"/>
        </w:rPr>
        <w:t>Numeriano</w:t>
      </w:r>
      <w:proofErr w:type="spellEnd"/>
      <w:r>
        <w:rPr>
          <w:rFonts w:ascii="Garamond" w:hAnsi="Garamond"/>
          <w:sz w:val="28"/>
          <w:szCs w:val="28"/>
        </w:rPr>
        <w:t xml:space="preserve"> Pontes da Silveira e ao decisivo apoio do governador Euclides Vieira Malta, com o projeto e a construção do arquiteto italiano Luiz </w:t>
      </w:r>
      <w:proofErr w:type="spellStart"/>
      <w:r>
        <w:rPr>
          <w:rFonts w:ascii="Garamond" w:hAnsi="Garamond"/>
          <w:sz w:val="28"/>
          <w:szCs w:val="28"/>
        </w:rPr>
        <w:t>Lucariny</w:t>
      </w:r>
      <w:proofErr w:type="spellEnd"/>
      <w:r>
        <w:rPr>
          <w:rFonts w:ascii="Garamond" w:hAnsi="Garamond"/>
          <w:sz w:val="28"/>
          <w:szCs w:val="28"/>
        </w:rPr>
        <w:t xml:space="preserve">. </w:t>
      </w:r>
    </w:p>
    <w:p w:rsidR="00D64BEC" w:rsidRDefault="00D64BEC" w:rsidP="00D64BEC">
      <w:pPr>
        <w:rPr>
          <w:rFonts w:ascii="Garamond" w:hAnsi="Garamond"/>
          <w:sz w:val="28"/>
          <w:szCs w:val="28"/>
        </w:rPr>
      </w:pPr>
      <w:r>
        <w:rPr>
          <w:rFonts w:ascii="Garamond" w:hAnsi="Garamond"/>
          <w:sz w:val="28"/>
          <w:szCs w:val="28"/>
        </w:rPr>
        <w:t>1934 - A Constituição Federal, em seu artigo 104, determina a nova denominação: CORTE DE APELAÇÃO.</w:t>
      </w:r>
    </w:p>
    <w:p w:rsidR="00D64BEC" w:rsidRDefault="00D64BEC" w:rsidP="00D64BEC">
      <w:pPr>
        <w:rPr>
          <w:rFonts w:ascii="Garamond" w:hAnsi="Garamond"/>
          <w:sz w:val="28"/>
          <w:szCs w:val="28"/>
        </w:rPr>
      </w:pPr>
      <w:r>
        <w:rPr>
          <w:rFonts w:ascii="Garamond" w:hAnsi="Garamond"/>
          <w:sz w:val="28"/>
          <w:szCs w:val="28"/>
        </w:rPr>
        <w:t>1937 - A nova Constituição Federal, prevê no seu artigo 103, que a corte máxima passe a denominar-se de : TRIBUNAL DE APELAÇÃO.</w:t>
      </w:r>
    </w:p>
    <w:p w:rsidR="002E26E2" w:rsidRDefault="00E0027C" w:rsidP="00D64BEC">
      <w:pPr>
        <w:rPr>
          <w:sz w:val="30"/>
          <w:szCs w:val="30"/>
        </w:rPr>
      </w:pPr>
      <w:r>
        <w:rPr>
          <w:noProof/>
          <w:sz w:val="30"/>
          <w:szCs w:val="30"/>
          <w:lang w:eastAsia="pt-BR"/>
        </w:rPr>
        <w:lastRenderedPageBreak/>
        <w:pict>
          <v:rect id="_x0000_s1065" style="position:absolute;margin-left:-3.35pt;margin-top:-2.85pt;width:92.25pt;height:90pt;z-index:-251653120"/>
        </w:pict>
      </w:r>
      <w:r w:rsidR="002E26E2" w:rsidRPr="004375E5">
        <w:rPr>
          <w:sz w:val="30"/>
          <w:szCs w:val="30"/>
        </w:rPr>
        <w:object w:dxaOrig="9088" w:dyaOrig="10839">
          <v:shape id="_x0000_i1027" type="#_x0000_t75" style="width:85.5pt;height:83.25pt" o:ole="">
            <v:imagedata r:id="rId5" o:title=""/>
          </v:shape>
          <o:OLEObject Type="Embed" ProgID="CorelDraw.Graphic.13" ShapeID="_x0000_i1027" DrawAspect="Content" ObjectID="_1343483248" r:id="rId8"/>
        </w:object>
      </w:r>
    </w:p>
    <w:p w:rsidR="00D64BEC" w:rsidRDefault="00D64BEC" w:rsidP="00D64BEC">
      <w:pPr>
        <w:rPr>
          <w:rFonts w:ascii="Garamond" w:hAnsi="Garamond"/>
          <w:sz w:val="28"/>
          <w:szCs w:val="28"/>
        </w:rPr>
      </w:pPr>
      <w:r>
        <w:rPr>
          <w:rFonts w:ascii="Garamond" w:hAnsi="Garamond"/>
          <w:sz w:val="28"/>
          <w:szCs w:val="28"/>
        </w:rPr>
        <w:t xml:space="preserve">1946 - Em seu artigo </w:t>
      </w:r>
      <w:smartTag w:uri="urn:schemas-microsoft-com:office:smarttags" w:element="metricconverter">
        <w:smartTagPr>
          <w:attr w:name="ProductID" w:val="124, a"/>
        </w:smartTagPr>
        <w:r>
          <w:rPr>
            <w:rFonts w:ascii="Garamond" w:hAnsi="Garamond"/>
            <w:sz w:val="28"/>
            <w:szCs w:val="28"/>
          </w:rPr>
          <w:t>124, a</w:t>
        </w:r>
      </w:smartTag>
      <w:r>
        <w:rPr>
          <w:rFonts w:ascii="Garamond" w:hAnsi="Garamond"/>
          <w:sz w:val="28"/>
          <w:szCs w:val="28"/>
        </w:rPr>
        <w:t xml:space="preserve"> nova Constituição Federal </w:t>
      </w:r>
      <w:proofErr w:type="spellStart"/>
      <w:r>
        <w:rPr>
          <w:rFonts w:ascii="Garamond" w:hAnsi="Garamond"/>
          <w:sz w:val="28"/>
          <w:szCs w:val="28"/>
        </w:rPr>
        <w:t>redenominava</w:t>
      </w:r>
      <w:proofErr w:type="spellEnd"/>
      <w:r>
        <w:rPr>
          <w:rFonts w:ascii="Garamond" w:hAnsi="Garamond"/>
          <w:sz w:val="28"/>
          <w:szCs w:val="28"/>
        </w:rPr>
        <w:t xml:space="preserve"> a corte estadual, designando-a </w:t>
      </w:r>
      <w:proofErr w:type="gramStart"/>
      <w:r>
        <w:rPr>
          <w:rFonts w:ascii="Garamond" w:hAnsi="Garamond"/>
          <w:sz w:val="28"/>
          <w:szCs w:val="28"/>
        </w:rPr>
        <w:t>como :</w:t>
      </w:r>
      <w:proofErr w:type="gramEnd"/>
      <w:r>
        <w:rPr>
          <w:rFonts w:ascii="Garamond" w:hAnsi="Garamond"/>
          <w:sz w:val="28"/>
          <w:szCs w:val="28"/>
        </w:rPr>
        <w:t xml:space="preserve"> TRIBUNAL DE JUSTIÇA, denominação que vige até hoje.</w:t>
      </w:r>
    </w:p>
    <w:p w:rsidR="006465AA" w:rsidRDefault="006465AA" w:rsidP="00222AC1">
      <w:pPr>
        <w:rPr>
          <w:rFonts w:ascii="Garamond" w:hAnsi="Garamond"/>
          <w:sz w:val="28"/>
          <w:szCs w:val="28"/>
        </w:rPr>
      </w:pPr>
      <w:r>
        <w:rPr>
          <w:rFonts w:ascii="Garamond" w:hAnsi="Garamond"/>
          <w:sz w:val="28"/>
          <w:szCs w:val="28"/>
        </w:rPr>
        <w:t xml:space="preserve">                     </w:t>
      </w:r>
      <w:proofErr w:type="gramStart"/>
      <w:r>
        <w:rPr>
          <w:rFonts w:ascii="Garamond" w:hAnsi="Garamond"/>
          <w:sz w:val="28"/>
          <w:szCs w:val="28"/>
        </w:rPr>
        <w:t>........................................................</w:t>
      </w:r>
      <w:proofErr w:type="gramEnd"/>
    </w:p>
    <w:p w:rsidR="00FE56DC" w:rsidRDefault="00FE56DC" w:rsidP="006465AA">
      <w:pPr>
        <w:rPr>
          <w:rFonts w:ascii="Garamond" w:hAnsi="Garamond"/>
          <w:sz w:val="28"/>
          <w:szCs w:val="28"/>
        </w:rPr>
      </w:pPr>
      <w:r>
        <w:rPr>
          <w:rFonts w:ascii="Garamond" w:hAnsi="Garamond"/>
          <w:sz w:val="28"/>
          <w:szCs w:val="28"/>
        </w:rPr>
        <w:t xml:space="preserve"> Tribunal de Justiça de Alagoas e suas sedes</w:t>
      </w:r>
    </w:p>
    <w:p w:rsidR="00FE56DC" w:rsidRPr="006465AA" w:rsidRDefault="00FE56DC" w:rsidP="00FE56DC">
      <w:pPr>
        <w:rPr>
          <w:rFonts w:ascii="Garamond" w:hAnsi="Garamond"/>
          <w:sz w:val="28"/>
          <w:szCs w:val="28"/>
        </w:rPr>
      </w:pPr>
      <w:r w:rsidRPr="006465AA">
        <w:rPr>
          <w:rFonts w:ascii="Garamond" w:hAnsi="Garamond"/>
          <w:sz w:val="28"/>
          <w:szCs w:val="28"/>
        </w:rPr>
        <w:t xml:space="preserve">A </w:t>
      </w:r>
      <w:proofErr w:type="gramStart"/>
      <w:r w:rsidRPr="006465AA">
        <w:rPr>
          <w:rFonts w:ascii="Garamond" w:hAnsi="Garamond"/>
          <w:sz w:val="28"/>
          <w:szCs w:val="28"/>
        </w:rPr>
        <w:t>CRIAÇÃO :</w:t>
      </w:r>
      <w:proofErr w:type="gramEnd"/>
      <w:r w:rsidRPr="006465AA">
        <w:rPr>
          <w:rFonts w:ascii="Garamond" w:hAnsi="Garamond"/>
          <w:sz w:val="28"/>
          <w:szCs w:val="28"/>
        </w:rPr>
        <w:t xml:space="preserve">  a primeira Constituição do Estado de Alagoas, promulgada em 11 de junho de 1891, fundou o PODER JUDICIÁRIO alagoano.</w:t>
      </w:r>
    </w:p>
    <w:p w:rsidR="00FE56DC" w:rsidRDefault="00FE56DC" w:rsidP="006106D3">
      <w:pPr>
        <w:jc w:val="both"/>
        <w:rPr>
          <w:rFonts w:ascii="Garamond" w:hAnsi="Garamond"/>
          <w:sz w:val="28"/>
          <w:szCs w:val="28"/>
        </w:rPr>
      </w:pPr>
      <w:r>
        <w:rPr>
          <w:rFonts w:ascii="Garamond" w:hAnsi="Garamond"/>
          <w:sz w:val="28"/>
          <w:szCs w:val="28"/>
        </w:rPr>
        <w:tab/>
      </w:r>
      <w:r>
        <w:rPr>
          <w:rFonts w:ascii="Garamond" w:hAnsi="Garamond"/>
          <w:sz w:val="28"/>
          <w:szCs w:val="28"/>
        </w:rPr>
        <w:tab/>
      </w:r>
      <w:r>
        <w:rPr>
          <w:rFonts w:ascii="Garamond" w:hAnsi="Garamond"/>
          <w:sz w:val="28"/>
          <w:szCs w:val="28"/>
        </w:rPr>
        <w:tab/>
      </w:r>
      <w:r>
        <w:rPr>
          <w:rFonts w:ascii="Garamond" w:hAnsi="Garamond"/>
          <w:sz w:val="28"/>
          <w:szCs w:val="28"/>
        </w:rPr>
        <w:tab/>
        <w:t xml:space="preserve">O Decreto nº 77, de </w:t>
      </w:r>
      <w:proofErr w:type="gramStart"/>
      <w:r>
        <w:rPr>
          <w:rFonts w:ascii="Garamond" w:hAnsi="Garamond"/>
          <w:sz w:val="28"/>
          <w:szCs w:val="28"/>
        </w:rPr>
        <w:t>7</w:t>
      </w:r>
      <w:proofErr w:type="gramEnd"/>
      <w:r>
        <w:rPr>
          <w:rFonts w:ascii="Garamond" w:hAnsi="Garamond"/>
          <w:sz w:val="28"/>
          <w:szCs w:val="28"/>
        </w:rPr>
        <w:t xml:space="preserve"> de junho de 1892, regulamentou a execução da Lei nº 7, de 12 de maio de 1892, primeira Lei de Organização da Justiça Estadual, denominando de Tribunal Superior de Alagoas, que funcionou em uma das salas do Palácio do Governo, também conhecido como Palácio Velho, localizado na atual Rua do Comércio , onde existiram os edifícios do IAPETEC e IAPC, incorporados como o INSS, à Praça dos Palmares. O prédio foi demolido em 1940.</w:t>
      </w:r>
    </w:p>
    <w:p w:rsidR="00FE56DC" w:rsidRDefault="00FE56DC" w:rsidP="00FE56DC">
      <w:pPr>
        <w:tabs>
          <w:tab w:val="left" w:pos="1985"/>
        </w:tabs>
        <w:jc w:val="both"/>
        <w:rPr>
          <w:rFonts w:ascii="Garamond" w:hAnsi="Garamond"/>
          <w:sz w:val="28"/>
          <w:szCs w:val="28"/>
        </w:rPr>
      </w:pPr>
      <w:r>
        <w:rPr>
          <w:rFonts w:ascii="Garamond" w:hAnsi="Garamond"/>
          <w:sz w:val="28"/>
          <w:szCs w:val="28"/>
        </w:rPr>
        <w:tab/>
      </w:r>
      <w:r>
        <w:rPr>
          <w:rFonts w:ascii="Garamond" w:hAnsi="Garamond"/>
          <w:sz w:val="28"/>
          <w:szCs w:val="28"/>
        </w:rPr>
        <w:tab/>
      </w:r>
      <w:r>
        <w:rPr>
          <w:rFonts w:ascii="Garamond" w:hAnsi="Garamond"/>
          <w:sz w:val="28"/>
          <w:szCs w:val="28"/>
        </w:rPr>
        <w:tab/>
      </w:r>
      <w:r>
        <w:rPr>
          <w:rFonts w:ascii="Garamond" w:hAnsi="Garamond"/>
          <w:sz w:val="28"/>
          <w:szCs w:val="28"/>
        </w:rPr>
        <w:tab/>
        <w:t xml:space="preserve">A partir de 1895, o Tribunal passa a funcionar no prédio da primeira Escola Modelo, construído em 1879 e situado no </w:t>
      </w:r>
      <w:proofErr w:type="gramStart"/>
      <w:r>
        <w:rPr>
          <w:rFonts w:ascii="Garamond" w:hAnsi="Garamond"/>
          <w:sz w:val="28"/>
          <w:szCs w:val="28"/>
        </w:rPr>
        <w:t xml:space="preserve">“ </w:t>
      </w:r>
      <w:proofErr w:type="gramEnd"/>
      <w:r>
        <w:rPr>
          <w:rFonts w:ascii="Garamond" w:hAnsi="Garamond"/>
          <w:sz w:val="28"/>
          <w:szCs w:val="28"/>
        </w:rPr>
        <w:t xml:space="preserve">Largo das Princesas ”, atual Praça Deodoro da Fonseca e, construído na administração do Presidente da Província, doutor  </w:t>
      </w:r>
      <w:proofErr w:type="spellStart"/>
      <w:r>
        <w:rPr>
          <w:rFonts w:ascii="Garamond" w:hAnsi="Garamond"/>
          <w:sz w:val="28"/>
          <w:szCs w:val="28"/>
        </w:rPr>
        <w:t>Cincinato</w:t>
      </w:r>
      <w:proofErr w:type="spellEnd"/>
      <w:r>
        <w:rPr>
          <w:rFonts w:ascii="Garamond" w:hAnsi="Garamond"/>
          <w:sz w:val="28"/>
          <w:szCs w:val="28"/>
        </w:rPr>
        <w:t xml:space="preserve"> Pinto da Silva. No mesmo edifício, funcionou o grupo Escolar D. Pedro II e, atualmente, é a sede da Academia Alagoana de Letras.</w:t>
      </w:r>
    </w:p>
    <w:p w:rsidR="00E5178B" w:rsidRDefault="00FE56DC" w:rsidP="00FE56DC">
      <w:pPr>
        <w:tabs>
          <w:tab w:val="left" w:pos="1985"/>
        </w:tabs>
        <w:jc w:val="both"/>
        <w:rPr>
          <w:rFonts w:ascii="Garamond" w:hAnsi="Garamond"/>
          <w:sz w:val="28"/>
          <w:szCs w:val="28"/>
        </w:rPr>
      </w:pPr>
      <w:r>
        <w:rPr>
          <w:rFonts w:ascii="Garamond" w:hAnsi="Garamond"/>
          <w:sz w:val="28"/>
          <w:szCs w:val="28"/>
        </w:rPr>
        <w:tab/>
      </w:r>
      <w:r>
        <w:rPr>
          <w:rFonts w:ascii="Garamond" w:hAnsi="Garamond"/>
          <w:sz w:val="28"/>
          <w:szCs w:val="28"/>
        </w:rPr>
        <w:tab/>
      </w:r>
      <w:r>
        <w:rPr>
          <w:rFonts w:ascii="Garamond" w:hAnsi="Garamond"/>
          <w:sz w:val="28"/>
          <w:szCs w:val="28"/>
        </w:rPr>
        <w:tab/>
      </w:r>
      <w:r>
        <w:rPr>
          <w:rFonts w:ascii="Garamond" w:hAnsi="Garamond"/>
          <w:sz w:val="28"/>
          <w:szCs w:val="28"/>
        </w:rPr>
        <w:tab/>
        <w:t xml:space="preserve">A sede definitiva, construída e projetada pelo iminente arquiteto Luiz </w:t>
      </w:r>
      <w:proofErr w:type="spellStart"/>
      <w:r>
        <w:rPr>
          <w:rFonts w:ascii="Garamond" w:hAnsi="Garamond"/>
          <w:sz w:val="28"/>
          <w:szCs w:val="28"/>
        </w:rPr>
        <w:t>Lucariny</w:t>
      </w:r>
      <w:proofErr w:type="spellEnd"/>
      <w:r>
        <w:rPr>
          <w:rFonts w:ascii="Garamond" w:hAnsi="Garamond"/>
          <w:sz w:val="28"/>
          <w:szCs w:val="28"/>
        </w:rPr>
        <w:t xml:space="preserve">, foi inaugurado na tarde do dia 6 de fevereiro de 1912, sob o empenho do Desembargador Aurélio </w:t>
      </w:r>
      <w:proofErr w:type="spellStart"/>
      <w:r>
        <w:rPr>
          <w:rFonts w:ascii="Garamond" w:hAnsi="Garamond"/>
          <w:sz w:val="28"/>
          <w:szCs w:val="28"/>
        </w:rPr>
        <w:t>Numeriano</w:t>
      </w:r>
      <w:proofErr w:type="spellEnd"/>
      <w:r>
        <w:rPr>
          <w:rFonts w:ascii="Garamond" w:hAnsi="Garamond"/>
          <w:sz w:val="28"/>
          <w:szCs w:val="28"/>
        </w:rPr>
        <w:t xml:space="preserve"> Pontes da Silveira</w:t>
      </w:r>
      <w:proofErr w:type="gramStart"/>
      <w:r>
        <w:rPr>
          <w:rFonts w:ascii="Garamond" w:hAnsi="Garamond"/>
          <w:sz w:val="28"/>
          <w:szCs w:val="28"/>
        </w:rPr>
        <w:t xml:space="preserve">  </w:t>
      </w:r>
      <w:proofErr w:type="gramEnd"/>
      <w:r>
        <w:rPr>
          <w:rFonts w:ascii="Garamond" w:hAnsi="Garamond"/>
          <w:sz w:val="28"/>
          <w:szCs w:val="28"/>
        </w:rPr>
        <w:t xml:space="preserve">e de alguns dos seus pares, durante a administração do governador Euclides Vieira Malta, bem como do também governador </w:t>
      </w:r>
      <w:proofErr w:type="spellStart"/>
      <w:r>
        <w:rPr>
          <w:rFonts w:ascii="Garamond" w:hAnsi="Garamond"/>
          <w:sz w:val="28"/>
          <w:szCs w:val="28"/>
        </w:rPr>
        <w:t>Gabino</w:t>
      </w:r>
      <w:proofErr w:type="spellEnd"/>
      <w:r>
        <w:rPr>
          <w:rFonts w:ascii="Garamond" w:hAnsi="Garamond"/>
          <w:sz w:val="28"/>
          <w:szCs w:val="28"/>
        </w:rPr>
        <w:t xml:space="preserve"> Besouro.</w:t>
      </w:r>
    </w:p>
    <w:p w:rsidR="00256609" w:rsidRPr="00256609" w:rsidRDefault="00E0027C" w:rsidP="00FE56DC">
      <w:pPr>
        <w:tabs>
          <w:tab w:val="left" w:pos="1985"/>
        </w:tabs>
        <w:jc w:val="both"/>
        <w:rPr>
          <w:rFonts w:ascii="Garamond" w:hAnsi="Garamond"/>
          <w:sz w:val="6"/>
          <w:szCs w:val="28"/>
        </w:rPr>
      </w:pPr>
      <w:r w:rsidRPr="00E0027C">
        <w:rPr>
          <w:noProof/>
          <w:sz w:val="30"/>
          <w:szCs w:val="30"/>
          <w:lang w:eastAsia="pt-BR"/>
        </w:rPr>
        <w:lastRenderedPageBreak/>
        <w:pict>
          <v:rect id="_x0000_s1066" style="position:absolute;left:0;text-align:left;margin-left:-4.1pt;margin-top:10.65pt;width:92.25pt;height:90pt;z-index:-251652096"/>
        </w:pict>
      </w:r>
    </w:p>
    <w:p w:rsidR="006465AA" w:rsidRDefault="002E26E2" w:rsidP="00F73A88">
      <w:pPr>
        <w:rPr>
          <w:rFonts w:ascii="Garamond" w:hAnsi="Garamond"/>
          <w:b/>
          <w:sz w:val="28"/>
          <w:szCs w:val="28"/>
        </w:rPr>
      </w:pPr>
      <w:r w:rsidRPr="004375E5">
        <w:rPr>
          <w:sz w:val="30"/>
          <w:szCs w:val="30"/>
        </w:rPr>
        <w:object w:dxaOrig="9088" w:dyaOrig="10839">
          <v:shape id="_x0000_i1028" type="#_x0000_t75" style="width:85.5pt;height:83.25pt" o:ole="">
            <v:imagedata r:id="rId5" o:title=""/>
          </v:shape>
          <o:OLEObject Type="Embed" ProgID="CorelDraw.Graphic.13" ShapeID="_x0000_i1028" DrawAspect="Content" ObjectID="_1343483249" r:id="rId9"/>
        </w:object>
      </w:r>
      <w:r w:rsidR="008A700A">
        <w:rPr>
          <w:sz w:val="30"/>
          <w:szCs w:val="30"/>
        </w:rPr>
        <w:t xml:space="preserve">   </w:t>
      </w:r>
      <w:r w:rsidR="006465AA">
        <w:rPr>
          <w:rFonts w:ascii="Garamond" w:hAnsi="Garamond"/>
          <w:b/>
          <w:sz w:val="28"/>
          <w:szCs w:val="28"/>
        </w:rPr>
        <w:t>Bibliografia</w:t>
      </w:r>
    </w:p>
    <w:p w:rsidR="002E26E2" w:rsidRDefault="002E26E2" w:rsidP="006465AA">
      <w:pPr>
        <w:ind w:firstLine="708"/>
        <w:rPr>
          <w:rFonts w:ascii="Garamond" w:hAnsi="Garamond"/>
          <w:b/>
          <w:sz w:val="28"/>
          <w:szCs w:val="28"/>
        </w:rPr>
      </w:pPr>
    </w:p>
    <w:p w:rsidR="006465AA" w:rsidRDefault="006465AA" w:rsidP="00256609">
      <w:pPr>
        <w:spacing w:after="0"/>
        <w:rPr>
          <w:rFonts w:ascii="Garamond" w:hAnsi="Garamond"/>
          <w:sz w:val="28"/>
          <w:szCs w:val="28"/>
        </w:rPr>
      </w:pPr>
      <w:r>
        <w:rPr>
          <w:rFonts w:ascii="Garamond" w:hAnsi="Garamond"/>
          <w:sz w:val="28"/>
          <w:szCs w:val="28"/>
        </w:rPr>
        <w:t xml:space="preserve">Amorim, Vânia Luíza Barreiros (org.) Luigi </w:t>
      </w:r>
      <w:proofErr w:type="spellStart"/>
      <w:r>
        <w:rPr>
          <w:rFonts w:ascii="Garamond" w:hAnsi="Garamond"/>
          <w:sz w:val="28"/>
          <w:szCs w:val="28"/>
        </w:rPr>
        <w:t>Lucarini</w:t>
      </w:r>
      <w:proofErr w:type="spellEnd"/>
      <w:r>
        <w:rPr>
          <w:rFonts w:ascii="Garamond" w:hAnsi="Garamond"/>
          <w:sz w:val="28"/>
          <w:szCs w:val="28"/>
        </w:rPr>
        <w:t xml:space="preserve"> – vida e obra. Maceió: </w:t>
      </w:r>
      <w:proofErr w:type="spellStart"/>
      <w:r>
        <w:rPr>
          <w:rFonts w:ascii="Garamond" w:hAnsi="Garamond"/>
          <w:sz w:val="28"/>
          <w:szCs w:val="28"/>
        </w:rPr>
        <w:t>Grafimarques</w:t>
      </w:r>
      <w:proofErr w:type="spellEnd"/>
      <w:r>
        <w:rPr>
          <w:rFonts w:ascii="Garamond" w:hAnsi="Garamond"/>
          <w:sz w:val="28"/>
          <w:szCs w:val="28"/>
        </w:rPr>
        <w:t>, 2010.</w:t>
      </w:r>
    </w:p>
    <w:p w:rsidR="002E26E2" w:rsidRDefault="002E26E2" w:rsidP="00256609">
      <w:pPr>
        <w:spacing w:after="0"/>
        <w:rPr>
          <w:rFonts w:ascii="Garamond" w:hAnsi="Garamond"/>
          <w:sz w:val="28"/>
          <w:szCs w:val="28"/>
        </w:rPr>
      </w:pPr>
    </w:p>
    <w:p w:rsidR="006465AA" w:rsidRDefault="006465AA" w:rsidP="006465AA">
      <w:pPr>
        <w:rPr>
          <w:rFonts w:ascii="Garamond" w:hAnsi="Garamond"/>
          <w:sz w:val="28"/>
          <w:szCs w:val="28"/>
        </w:rPr>
      </w:pPr>
      <w:r>
        <w:rPr>
          <w:rFonts w:ascii="Garamond" w:hAnsi="Garamond"/>
          <w:sz w:val="28"/>
          <w:szCs w:val="28"/>
        </w:rPr>
        <w:t xml:space="preserve">Galvão, Aloysio Américo. Centenário do Tribunal de Justiça de Alagoas – Subsídios à sua História. Maceió: </w:t>
      </w:r>
      <w:proofErr w:type="spellStart"/>
      <w:r>
        <w:rPr>
          <w:rFonts w:ascii="Garamond" w:hAnsi="Garamond"/>
          <w:sz w:val="28"/>
          <w:szCs w:val="28"/>
        </w:rPr>
        <w:t>Sergasa</w:t>
      </w:r>
      <w:proofErr w:type="spellEnd"/>
      <w:r>
        <w:rPr>
          <w:rFonts w:ascii="Garamond" w:hAnsi="Garamond"/>
          <w:sz w:val="28"/>
          <w:szCs w:val="28"/>
        </w:rPr>
        <w:t>, 1992.</w:t>
      </w:r>
    </w:p>
    <w:p w:rsidR="006465AA" w:rsidRDefault="006465AA" w:rsidP="00256609">
      <w:pPr>
        <w:spacing w:after="0"/>
        <w:rPr>
          <w:rFonts w:ascii="Garamond" w:hAnsi="Garamond"/>
          <w:sz w:val="28"/>
          <w:szCs w:val="28"/>
        </w:rPr>
      </w:pPr>
      <w:r>
        <w:rPr>
          <w:rFonts w:ascii="Garamond" w:hAnsi="Garamond"/>
          <w:sz w:val="28"/>
          <w:szCs w:val="28"/>
        </w:rPr>
        <w:t xml:space="preserve">Loureiro, Romeu de Mello. Magistrados das Alagoas – Ano 2000 D.C. Maceió: Edições </w:t>
      </w:r>
      <w:proofErr w:type="spellStart"/>
      <w:r>
        <w:rPr>
          <w:rFonts w:ascii="Garamond" w:hAnsi="Garamond"/>
          <w:sz w:val="28"/>
          <w:szCs w:val="28"/>
        </w:rPr>
        <w:t>Catavento</w:t>
      </w:r>
      <w:proofErr w:type="spellEnd"/>
      <w:r>
        <w:rPr>
          <w:rFonts w:ascii="Garamond" w:hAnsi="Garamond"/>
          <w:sz w:val="28"/>
          <w:szCs w:val="28"/>
        </w:rPr>
        <w:t>, 2000</w:t>
      </w:r>
    </w:p>
    <w:p w:rsidR="002E26E2" w:rsidRDefault="002E26E2" w:rsidP="00256609">
      <w:pPr>
        <w:spacing w:after="0"/>
        <w:rPr>
          <w:rFonts w:ascii="Garamond" w:hAnsi="Garamond"/>
          <w:sz w:val="28"/>
          <w:szCs w:val="28"/>
        </w:rPr>
      </w:pPr>
    </w:p>
    <w:p w:rsidR="006465AA" w:rsidRDefault="006465AA" w:rsidP="006465AA">
      <w:pPr>
        <w:rPr>
          <w:rFonts w:ascii="Garamond" w:hAnsi="Garamond"/>
          <w:sz w:val="28"/>
          <w:szCs w:val="28"/>
        </w:rPr>
      </w:pPr>
      <w:r>
        <w:rPr>
          <w:rFonts w:ascii="Garamond" w:hAnsi="Garamond"/>
          <w:sz w:val="28"/>
          <w:szCs w:val="28"/>
        </w:rPr>
        <w:t xml:space="preserve">Tribunal de Justiça do Estado de Alagoas – harmonia e parceria. Relatório 2004. </w:t>
      </w:r>
    </w:p>
    <w:p w:rsidR="002E26E2" w:rsidRDefault="00FE56DC" w:rsidP="00256609">
      <w:pPr>
        <w:tabs>
          <w:tab w:val="left" w:pos="1985"/>
        </w:tabs>
        <w:jc w:val="both"/>
        <w:rPr>
          <w:rFonts w:ascii="Garamond" w:hAnsi="Garamond"/>
          <w:b/>
          <w:sz w:val="28"/>
          <w:szCs w:val="28"/>
        </w:rPr>
      </w:pPr>
      <w:r w:rsidRPr="00256609">
        <w:rPr>
          <w:rFonts w:ascii="Garamond" w:hAnsi="Garamond"/>
          <w:b/>
          <w:sz w:val="28"/>
          <w:szCs w:val="28"/>
        </w:rPr>
        <w:t xml:space="preserve">  </w:t>
      </w:r>
    </w:p>
    <w:p w:rsidR="002E26E2" w:rsidRDefault="002E26E2" w:rsidP="00256609">
      <w:pPr>
        <w:tabs>
          <w:tab w:val="left" w:pos="1985"/>
        </w:tabs>
        <w:jc w:val="both"/>
        <w:rPr>
          <w:rFonts w:ascii="Garamond" w:hAnsi="Garamond"/>
          <w:b/>
          <w:sz w:val="28"/>
          <w:szCs w:val="28"/>
        </w:rPr>
      </w:pPr>
    </w:p>
    <w:p w:rsidR="002E26E2" w:rsidRDefault="002E26E2" w:rsidP="00256609">
      <w:pPr>
        <w:tabs>
          <w:tab w:val="left" w:pos="1985"/>
        </w:tabs>
        <w:jc w:val="both"/>
        <w:rPr>
          <w:rFonts w:ascii="Garamond" w:hAnsi="Garamond"/>
          <w:b/>
          <w:sz w:val="28"/>
          <w:szCs w:val="28"/>
        </w:rPr>
      </w:pPr>
    </w:p>
    <w:p w:rsidR="002E26E2" w:rsidRDefault="002E26E2" w:rsidP="00256609">
      <w:pPr>
        <w:tabs>
          <w:tab w:val="left" w:pos="1985"/>
        </w:tabs>
        <w:jc w:val="both"/>
        <w:rPr>
          <w:rFonts w:ascii="Garamond" w:hAnsi="Garamond"/>
          <w:b/>
          <w:sz w:val="28"/>
          <w:szCs w:val="28"/>
        </w:rPr>
      </w:pPr>
    </w:p>
    <w:p w:rsidR="002E26E2" w:rsidRDefault="002E26E2" w:rsidP="00256609">
      <w:pPr>
        <w:tabs>
          <w:tab w:val="left" w:pos="1985"/>
        </w:tabs>
        <w:jc w:val="both"/>
        <w:rPr>
          <w:rFonts w:ascii="Garamond" w:hAnsi="Garamond"/>
          <w:b/>
          <w:sz w:val="28"/>
          <w:szCs w:val="28"/>
        </w:rPr>
      </w:pPr>
    </w:p>
    <w:p w:rsidR="002E26E2" w:rsidRDefault="002E26E2" w:rsidP="00256609">
      <w:pPr>
        <w:tabs>
          <w:tab w:val="left" w:pos="1985"/>
        </w:tabs>
        <w:jc w:val="both"/>
        <w:rPr>
          <w:rFonts w:ascii="Garamond" w:hAnsi="Garamond"/>
          <w:b/>
          <w:sz w:val="28"/>
          <w:szCs w:val="28"/>
        </w:rPr>
      </w:pPr>
    </w:p>
    <w:p w:rsidR="002E26E2" w:rsidRDefault="002E26E2" w:rsidP="00256609">
      <w:pPr>
        <w:tabs>
          <w:tab w:val="left" w:pos="1985"/>
        </w:tabs>
        <w:jc w:val="both"/>
        <w:rPr>
          <w:rFonts w:ascii="Garamond" w:hAnsi="Garamond"/>
          <w:b/>
          <w:sz w:val="28"/>
          <w:szCs w:val="28"/>
        </w:rPr>
      </w:pPr>
    </w:p>
    <w:sectPr w:rsidR="002E26E2" w:rsidSect="002E26E2">
      <w:pgSz w:w="16838" w:h="11906" w:orient="landscape"/>
      <w:pgMar w:top="567" w:right="1417" w:bottom="156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lvlText w:val=""/>
      <w:lvlJc w:val="left"/>
      <w:pPr>
        <w:tabs>
          <w:tab w:val="num" w:pos="432"/>
        </w:tabs>
        <w:ind w:left="432" w:hanging="432"/>
      </w:pPr>
      <w:rPr>
        <w:rFonts w:cs="Times New Roman"/>
      </w:rPr>
    </w:lvl>
    <w:lvl w:ilvl="1">
      <w:start w:val="1"/>
      <w:numFmt w:val="none"/>
      <w:lvlText w:val=""/>
      <w:lvlJc w:val="left"/>
      <w:pPr>
        <w:tabs>
          <w:tab w:val="num" w:pos="576"/>
        </w:tabs>
        <w:ind w:left="576" w:hanging="576"/>
      </w:pPr>
      <w:rPr>
        <w:rFonts w:cs="Times New Roman"/>
      </w:rPr>
    </w:lvl>
    <w:lvl w:ilvl="2">
      <w:start w:val="1"/>
      <w:numFmt w:val="none"/>
      <w:lvlText w:val=""/>
      <w:lvlJc w:val="left"/>
      <w:pPr>
        <w:tabs>
          <w:tab w:val="num" w:pos="720"/>
        </w:tabs>
        <w:ind w:left="720" w:hanging="720"/>
      </w:pPr>
      <w:rPr>
        <w:rFonts w:cs="Times New Roman"/>
      </w:rPr>
    </w:lvl>
    <w:lvl w:ilvl="3">
      <w:start w:val="1"/>
      <w:numFmt w:val="none"/>
      <w:lvlText w:val=""/>
      <w:lvlJc w:val="left"/>
      <w:pPr>
        <w:tabs>
          <w:tab w:val="num" w:pos="864"/>
        </w:tabs>
        <w:ind w:left="864" w:hanging="864"/>
      </w:pPr>
      <w:rPr>
        <w:rFonts w:cs="Times New Roman"/>
      </w:rPr>
    </w:lvl>
    <w:lvl w:ilvl="4">
      <w:start w:val="1"/>
      <w:numFmt w:val="none"/>
      <w:lvlText w:val=""/>
      <w:lvlJc w:val="left"/>
      <w:pPr>
        <w:tabs>
          <w:tab w:val="num" w:pos="1008"/>
        </w:tabs>
        <w:ind w:left="1008" w:hanging="1008"/>
      </w:pPr>
      <w:rPr>
        <w:rFonts w:cs="Times New Roman"/>
      </w:rPr>
    </w:lvl>
    <w:lvl w:ilvl="5">
      <w:start w:val="1"/>
      <w:numFmt w:val="none"/>
      <w:lvlText w:val=""/>
      <w:lvlJc w:val="left"/>
      <w:pPr>
        <w:tabs>
          <w:tab w:val="num" w:pos="1152"/>
        </w:tabs>
        <w:ind w:left="1152" w:hanging="1152"/>
      </w:pPr>
      <w:rPr>
        <w:rFonts w:cs="Times New Roman"/>
      </w:rPr>
    </w:lvl>
    <w:lvl w:ilvl="6">
      <w:start w:val="1"/>
      <w:numFmt w:val="none"/>
      <w:lvlText w:val=""/>
      <w:lvlJc w:val="left"/>
      <w:pPr>
        <w:tabs>
          <w:tab w:val="num" w:pos="1296"/>
        </w:tabs>
        <w:ind w:left="1296" w:hanging="1296"/>
      </w:pPr>
      <w:rPr>
        <w:rFonts w:cs="Times New Roman"/>
      </w:rPr>
    </w:lvl>
    <w:lvl w:ilvl="7">
      <w:start w:val="1"/>
      <w:numFmt w:val="none"/>
      <w:lvlText w:val=""/>
      <w:lvlJc w:val="left"/>
      <w:pPr>
        <w:tabs>
          <w:tab w:val="num" w:pos="1440"/>
        </w:tabs>
        <w:ind w:left="1440" w:hanging="1440"/>
      </w:pPr>
      <w:rPr>
        <w:rFonts w:cs="Times New Roman"/>
      </w:rPr>
    </w:lvl>
    <w:lvl w:ilvl="8">
      <w:start w:val="1"/>
      <w:numFmt w:val="none"/>
      <w:lvlText w:val=""/>
      <w:lvlJc w:val="left"/>
      <w:pPr>
        <w:tabs>
          <w:tab w:val="num" w:pos="1584"/>
        </w:tabs>
        <w:ind w:left="1584" w:hanging="1584"/>
      </w:pPr>
      <w:rPr>
        <w:rFonts w:cs="Times New Roman"/>
      </w:rPr>
    </w:lvl>
  </w:abstractNum>
  <w:abstractNum w:abstractNumId="1">
    <w:nsid w:val="3752714C"/>
    <w:multiLevelType w:val="hybridMultilevel"/>
    <w:tmpl w:val="79482E78"/>
    <w:lvl w:ilvl="0" w:tplc="0416000F">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nsid w:val="3A66131D"/>
    <w:multiLevelType w:val="hybridMultilevel"/>
    <w:tmpl w:val="A544A28C"/>
    <w:lvl w:ilvl="0" w:tplc="D46CE3C6">
      <w:start w:val="3"/>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43B8198F"/>
    <w:multiLevelType w:val="hybridMultilevel"/>
    <w:tmpl w:val="221CE9E0"/>
    <w:lvl w:ilvl="0" w:tplc="0416000F">
      <w:start w:val="1"/>
      <w:numFmt w:val="decimal"/>
      <w:lvlText w:val="%1."/>
      <w:lvlJc w:val="left"/>
      <w:pPr>
        <w:ind w:left="502" w:hanging="360"/>
      </w:pPr>
      <w:rPr>
        <w:rFonts w:cs="Times New Roman"/>
      </w:rPr>
    </w:lvl>
    <w:lvl w:ilvl="1" w:tplc="04160019">
      <w:start w:val="1"/>
      <w:numFmt w:val="decimal"/>
      <w:lvlText w:val="%2."/>
      <w:lvlJc w:val="left"/>
      <w:pPr>
        <w:tabs>
          <w:tab w:val="num" w:pos="1440"/>
        </w:tabs>
        <w:ind w:left="1440" w:hanging="360"/>
      </w:pPr>
      <w:rPr>
        <w:rFonts w:cs="Times New Roman"/>
      </w:rPr>
    </w:lvl>
    <w:lvl w:ilvl="2" w:tplc="0416001B">
      <w:start w:val="1"/>
      <w:numFmt w:val="decimal"/>
      <w:lvlText w:val="%3."/>
      <w:lvlJc w:val="left"/>
      <w:pPr>
        <w:tabs>
          <w:tab w:val="num" w:pos="2160"/>
        </w:tabs>
        <w:ind w:left="2160" w:hanging="360"/>
      </w:pPr>
      <w:rPr>
        <w:rFonts w:cs="Times New Roman"/>
      </w:rPr>
    </w:lvl>
    <w:lvl w:ilvl="3" w:tplc="0416000F">
      <w:start w:val="1"/>
      <w:numFmt w:val="decimal"/>
      <w:lvlText w:val="%4."/>
      <w:lvlJc w:val="left"/>
      <w:pPr>
        <w:tabs>
          <w:tab w:val="num" w:pos="2880"/>
        </w:tabs>
        <w:ind w:left="2880" w:hanging="360"/>
      </w:pPr>
      <w:rPr>
        <w:rFonts w:cs="Times New Roman"/>
      </w:rPr>
    </w:lvl>
    <w:lvl w:ilvl="4" w:tplc="04160019">
      <w:start w:val="1"/>
      <w:numFmt w:val="decimal"/>
      <w:lvlText w:val="%5."/>
      <w:lvlJc w:val="left"/>
      <w:pPr>
        <w:tabs>
          <w:tab w:val="num" w:pos="3600"/>
        </w:tabs>
        <w:ind w:left="3600" w:hanging="360"/>
      </w:pPr>
      <w:rPr>
        <w:rFonts w:cs="Times New Roman"/>
      </w:rPr>
    </w:lvl>
    <w:lvl w:ilvl="5" w:tplc="0416001B">
      <w:start w:val="1"/>
      <w:numFmt w:val="decimal"/>
      <w:lvlText w:val="%6."/>
      <w:lvlJc w:val="left"/>
      <w:pPr>
        <w:tabs>
          <w:tab w:val="num" w:pos="4320"/>
        </w:tabs>
        <w:ind w:left="4320" w:hanging="360"/>
      </w:pPr>
      <w:rPr>
        <w:rFonts w:cs="Times New Roman"/>
      </w:rPr>
    </w:lvl>
    <w:lvl w:ilvl="6" w:tplc="0416000F">
      <w:start w:val="1"/>
      <w:numFmt w:val="decimal"/>
      <w:lvlText w:val="%7."/>
      <w:lvlJc w:val="left"/>
      <w:pPr>
        <w:tabs>
          <w:tab w:val="num" w:pos="5040"/>
        </w:tabs>
        <w:ind w:left="5040" w:hanging="360"/>
      </w:pPr>
      <w:rPr>
        <w:rFonts w:cs="Times New Roman"/>
      </w:rPr>
    </w:lvl>
    <w:lvl w:ilvl="7" w:tplc="04160019">
      <w:start w:val="1"/>
      <w:numFmt w:val="decimal"/>
      <w:lvlText w:val="%8."/>
      <w:lvlJc w:val="left"/>
      <w:pPr>
        <w:tabs>
          <w:tab w:val="num" w:pos="5760"/>
        </w:tabs>
        <w:ind w:left="5760" w:hanging="360"/>
      </w:pPr>
      <w:rPr>
        <w:rFonts w:cs="Times New Roman"/>
      </w:rPr>
    </w:lvl>
    <w:lvl w:ilvl="8" w:tplc="0416001B">
      <w:start w:val="1"/>
      <w:numFmt w:val="decimal"/>
      <w:lvlText w:val="%9."/>
      <w:lvlJc w:val="left"/>
      <w:pPr>
        <w:tabs>
          <w:tab w:val="num" w:pos="6480"/>
        </w:tabs>
        <w:ind w:left="6480" w:hanging="360"/>
      </w:pPr>
      <w:rPr>
        <w:rFonts w:cs="Times New Roman"/>
      </w:rPr>
    </w:lvl>
  </w:abstractNum>
  <w:abstractNum w:abstractNumId="4">
    <w:nsid w:val="44426BD1"/>
    <w:multiLevelType w:val="hybridMultilevel"/>
    <w:tmpl w:val="CC3C9F22"/>
    <w:lvl w:ilvl="0" w:tplc="0416000F">
      <w:start w:val="3"/>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5B09344B"/>
    <w:multiLevelType w:val="hybridMultilevel"/>
    <w:tmpl w:val="EA94CE5C"/>
    <w:lvl w:ilvl="0" w:tplc="20049BD8">
      <w:start w:val="5"/>
      <w:numFmt w:val="decimal"/>
      <w:lvlText w:val="%1."/>
      <w:lvlJc w:val="left"/>
      <w:pPr>
        <w:ind w:left="1920" w:hanging="360"/>
      </w:pPr>
      <w:rPr>
        <w:rFonts w:cs="Times New Roman"/>
      </w:r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6">
    <w:nsid w:val="70652867"/>
    <w:multiLevelType w:val="hybridMultilevel"/>
    <w:tmpl w:val="0D8E408E"/>
    <w:lvl w:ilvl="0" w:tplc="0416000F">
      <w:start w:val="2"/>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nsid w:val="71AB7990"/>
    <w:multiLevelType w:val="hybridMultilevel"/>
    <w:tmpl w:val="77128F52"/>
    <w:lvl w:ilvl="0" w:tplc="9E12919C">
      <w:start w:val="1"/>
      <w:numFmt w:val="decimal"/>
      <w:lvlText w:val="%1."/>
      <w:lvlJc w:val="left"/>
      <w:pPr>
        <w:ind w:left="720" w:hanging="360"/>
      </w:pPr>
      <w:rPr>
        <w:rFonts w:cs="Times New Roman"/>
        <w:b/>
      </w:r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8">
    <w:nsid w:val="79E630CF"/>
    <w:multiLevelType w:val="hybridMultilevel"/>
    <w:tmpl w:val="35067066"/>
    <w:lvl w:ilvl="0" w:tplc="08064736">
      <w:start w:val="1"/>
      <w:numFmt w:val="decimal"/>
      <w:lvlText w:val="%1."/>
      <w:lvlJc w:val="left"/>
      <w:pPr>
        <w:ind w:left="1080" w:hanging="360"/>
      </w:pPr>
      <w:rPr>
        <w:rFonts w:cs="Times New Roman"/>
      </w:r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2"/>
  </w:num>
  <w:num w:numId="8">
    <w:abstractNumId w:val="1"/>
  </w:num>
  <w:num w:numId="9">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4730D3"/>
    <w:rsid w:val="000416CA"/>
    <w:rsid w:val="00094B03"/>
    <w:rsid w:val="000E55E7"/>
    <w:rsid w:val="001233A3"/>
    <w:rsid w:val="00127906"/>
    <w:rsid w:val="001B21F4"/>
    <w:rsid w:val="001C1EA3"/>
    <w:rsid w:val="001E5699"/>
    <w:rsid w:val="00222AC1"/>
    <w:rsid w:val="00256609"/>
    <w:rsid w:val="002D5D74"/>
    <w:rsid w:val="002E26E2"/>
    <w:rsid w:val="003749DF"/>
    <w:rsid w:val="00450722"/>
    <w:rsid w:val="004730D3"/>
    <w:rsid w:val="005676E4"/>
    <w:rsid w:val="006106D3"/>
    <w:rsid w:val="006465AA"/>
    <w:rsid w:val="00694DE8"/>
    <w:rsid w:val="007C60E0"/>
    <w:rsid w:val="008A700A"/>
    <w:rsid w:val="008F0441"/>
    <w:rsid w:val="00900F3D"/>
    <w:rsid w:val="00914C3A"/>
    <w:rsid w:val="00951D17"/>
    <w:rsid w:val="00961A8C"/>
    <w:rsid w:val="009726D2"/>
    <w:rsid w:val="009C3E5D"/>
    <w:rsid w:val="00A240CC"/>
    <w:rsid w:val="00A72529"/>
    <w:rsid w:val="00AA2A31"/>
    <w:rsid w:val="00AE4659"/>
    <w:rsid w:val="00B2463A"/>
    <w:rsid w:val="00BF467C"/>
    <w:rsid w:val="00D20F95"/>
    <w:rsid w:val="00D64BEC"/>
    <w:rsid w:val="00E0027C"/>
    <w:rsid w:val="00E5178B"/>
    <w:rsid w:val="00EE35B7"/>
    <w:rsid w:val="00F07C56"/>
    <w:rsid w:val="00F37036"/>
    <w:rsid w:val="00F62C5F"/>
    <w:rsid w:val="00F73A88"/>
    <w:rsid w:val="00FB0ADA"/>
    <w:rsid w:val="00FE56DC"/>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4338"/>
    <o:shapelayout v:ext="edit">
      <o:idmap v:ext="edit" data="1"/>
      <o:rules v:ext="edit">
        <o:r id="V:Rule2" type="connector"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2A31"/>
  </w:style>
  <w:style w:type="paragraph" w:styleId="Ttulo1">
    <w:name w:val="heading 1"/>
    <w:basedOn w:val="Normal"/>
    <w:next w:val="Normal"/>
    <w:link w:val="Ttulo1Char"/>
    <w:uiPriority w:val="99"/>
    <w:qFormat/>
    <w:rsid w:val="001233A3"/>
    <w:pPr>
      <w:keepNext/>
      <w:widowControl w:val="0"/>
      <w:suppressAutoHyphens/>
      <w:spacing w:after="0" w:line="240" w:lineRule="auto"/>
      <w:ind w:left="720" w:hanging="360"/>
      <w:jc w:val="center"/>
      <w:outlineLvl w:val="0"/>
    </w:pPr>
    <w:rPr>
      <w:rFonts w:ascii="Times New Roman" w:eastAsia="Calibri" w:hAnsi="Times New Roman" w:cs="Times New Roman"/>
      <w:b/>
      <w:kern w:val="2"/>
      <w:sz w:val="36"/>
      <w:szCs w:val="20"/>
      <w:lang w:eastAsia="pt-BR"/>
    </w:rPr>
  </w:style>
  <w:style w:type="paragraph" w:styleId="Ttulo2">
    <w:name w:val="heading 2"/>
    <w:basedOn w:val="Normal"/>
    <w:next w:val="Normal"/>
    <w:link w:val="Ttulo2Char"/>
    <w:uiPriority w:val="99"/>
    <w:semiHidden/>
    <w:unhideWhenUsed/>
    <w:qFormat/>
    <w:rsid w:val="001233A3"/>
    <w:pPr>
      <w:keepNext/>
      <w:widowControl w:val="0"/>
      <w:tabs>
        <w:tab w:val="num" w:pos="1440"/>
      </w:tabs>
      <w:suppressAutoHyphens/>
      <w:spacing w:after="0" w:line="240" w:lineRule="auto"/>
      <w:ind w:left="1440" w:hanging="360"/>
      <w:jc w:val="center"/>
      <w:outlineLvl w:val="1"/>
    </w:pPr>
    <w:rPr>
      <w:rFonts w:ascii="Times New Roman" w:eastAsia="Calibri" w:hAnsi="Times New Roman" w:cs="Times New Roman"/>
      <w:b/>
      <w:kern w:val="2"/>
      <w:sz w:val="24"/>
      <w:szCs w:val="24"/>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99"/>
    <w:qFormat/>
    <w:rsid w:val="00D64BEC"/>
    <w:pPr>
      <w:ind w:left="720"/>
      <w:contextualSpacing/>
    </w:pPr>
    <w:rPr>
      <w:rFonts w:ascii="Calibri" w:eastAsia="Calibri" w:hAnsi="Calibri" w:cs="Times New Roman"/>
    </w:rPr>
  </w:style>
  <w:style w:type="character" w:customStyle="1" w:styleId="Ttulo1Char">
    <w:name w:val="Título 1 Char"/>
    <w:basedOn w:val="Fontepargpadro"/>
    <w:link w:val="Ttulo1"/>
    <w:uiPriority w:val="99"/>
    <w:rsid w:val="001233A3"/>
    <w:rPr>
      <w:rFonts w:ascii="Times New Roman" w:eastAsia="Calibri" w:hAnsi="Times New Roman" w:cs="Times New Roman"/>
      <w:b/>
      <w:kern w:val="2"/>
      <w:sz w:val="36"/>
      <w:szCs w:val="20"/>
      <w:lang w:eastAsia="pt-BR"/>
    </w:rPr>
  </w:style>
  <w:style w:type="character" w:customStyle="1" w:styleId="Ttulo2Char">
    <w:name w:val="Título 2 Char"/>
    <w:basedOn w:val="Fontepargpadro"/>
    <w:link w:val="Ttulo2"/>
    <w:uiPriority w:val="99"/>
    <w:semiHidden/>
    <w:rsid w:val="001233A3"/>
    <w:rPr>
      <w:rFonts w:ascii="Times New Roman" w:eastAsia="Calibri" w:hAnsi="Times New Roman" w:cs="Times New Roman"/>
      <w:b/>
      <w:kern w:val="2"/>
      <w:sz w:val="24"/>
      <w:szCs w:val="24"/>
      <w:lang w:eastAsia="pt-BR"/>
    </w:rPr>
  </w:style>
  <w:style w:type="character" w:styleId="Hyperlink">
    <w:name w:val="Hyperlink"/>
    <w:basedOn w:val="Fontepargpadro"/>
    <w:uiPriority w:val="99"/>
    <w:semiHidden/>
    <w:unhideWhenUsed/>
    <w:rsid w:val="001233A3"/>
    <w:rPr>
      <w:rFonts w:ascii="Times New Roman" w:hAnsi="Times New Roman" w:cs="Times New Roman" w:hint="default"/>
      <w:color w:val="0000FF"/>
      <w:u w:val="single"/>
    </w:rPr>
  </w:style>
  <w:style w:type="paragraph" w:styleId="NormalWeb">
    <w:name w:val="Normal (Web)"/>
    <w:basedOn w:val="Normal"/>
    <w:uiPriority w:val="99"/>
    <w:semiHidden/>
    <w:unhideWhenUsed/>
    <w:rsid w:val="001233A3"/>
    <w:pPr>
      <w:spacing w:before="100" w:beforeAutospacing="1" w:after="100" w:afterAutospacing="1" w:line="240" w:lineRule="auto"/>
    </w:pPr>
    <w:rPr>
      <w:rFonts w:ascii="Times New Roman" w:eastAsia="Times New Roman" w:hAnsi="Times New Roman" w:cs="Times New Roman"/>
      <w:sz w:val="24"/>
      <w:szCs w:val="24"/>
      <w:lang w:eastAsia="pt-BR"/>
    </w:rPr>
  </w:style>
</w:styles>
</file>

<file path=word/webSettings.xml><?xml version="1.0" encoding="utf-8"?>
<w:webSettings xmlns:r="http://schemas.openxmlformats.org/officeDocument/2006/relationships" xmlns:w="http://schemas.openxmlformats.org/wordprocessingml/2006/main">
  <w:divs>
    <w:div w:id="673922881">
      <w:bodyDiv w:val="1"/>
      <w:marLeft w:val="0"/>
      <w:marRight w:val="0"/>
      <w:marTop w:val="0"/>
      <w:marBottom w:val="0"/>
      <w:divBdr>
        <w:top w:val="none" w:sz="0" w:space="0" w:color="auto"/>
        <w:left w:val="none" w:sz="0" w:space="0" w:color="auto"/>
        <w:bottom w:val="none" w:sz="0" w:space="0" w:color="auto"/>
        <w:right w:val="none" w:sz="0" w:space="0" w:color="auto"/>
      </w:divBdr>
    </w:div>
    <w:div w:id="1918175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3.bin"/><Relationship Id="rId3" Type="http://schemas.openxmlformats.org/officeDocument/2006/relationships/settings" Target="settings.xml"/><Relationship Id="rId7" Type="http://schemas.openxmlformats.org/officeDocument/2006/relationships/oleObject" Target="embeddings/oleObject2.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theme" Target="theme/theme1.xml"/><Relationship Id="rId5" Type="http://schemas.openxmlformats.org/officeDocument/2006/relationships/image" Target="media/image1.emf"/><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oleObject" Target="embeddings/oleObject4.bin"/></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867</Words>
  <Characters>4684</Characters>
  <Application>Microsoft Office Word</Application>
  <DocSecurity>0</DocSecurity>
  <Lines>39</Lines>
  <Paragraphs>11</Paragraphs>
  <ScaleCrop>false</ScaleCrop>
  <HeadingPairs>
    <vt:vector size="2" baseType="variant">
      <vt:variant>
        <vt:lpstr>Título</vt:lpstr>
      </vt:variant>
      <vt:variant>
        <vt:i4>1</vt:i4>
      </vt:variant>
    </vt:vector>
  </HeadingPairs>
  <TitlesOfParts>
    <vt:vector size="1" baseType="lpstr">
      <vt:lpstr/>
    </vt:vector>
  </TitlesOfParts>
  <Company>DELLNBX</Company>
  <LinksUpToDate>false</LinksUpToDate>
  <CharactersWithSpaces>5540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Carmen</dc:creator>
  <cp:lastModifiedBy>Henrique Gomes</cp:lastModifiedBy>
  <cp:revision>3</cp:revision>
  <cp:lastPrinted>2010-08-13T15:09:00Z</cp:lastPrinted>
  <dcterms:created xsi:type="dcterms:W3CDTF">2010-08-16T19:57:00Z</dcterms:created>
  <dcterms:modified xsi:type="dcterms:W3CDTF">2010-08-16T19:58:00Z</dcterms:modified>
</cp:coreProperties>
</file>